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7FEF" w14:textId="690E6414" w:rsidR="00AD0A02" w:rsidRDefault="00715952" w:rsidP="001468FB">
      <w:pPr>
        <w:pStyle w:val="Title"/>
        <w:spacing w:before="1350"/>
      </w:pPr>
      <w:bookmarkStart w:id="0" w:name="winter-shield-key-defenses-condensed"/>
      <w:r>
        <w:t>Winter SHIELD: Key Defenses</w:t>
      </w:r>
    </w:p>
    <w:p w14:paraId="143ADC21" w14:textId="6D1DA856" w:rsidR="00AD0A02" w:rsidRPr="004E2D77" w:rsidRDefault="00715952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Objective</w:t>
      </w:r>
      <w:r w:rsidR="008C39B7" w:rsidRPr="004E2D77">
        <w:rPr>
          <w:rFonts w:ascii="Aptos" w:hAnsi="Aptos"/>
          <w:b/>
          <w:sz w:val="21"/>
          <w:szCs w:val="21"/>
        </w:rPr>
        <w:t>:</w:t>
      </w:r>
      <w:r w:rsidRPr="004E2D77">
        <w:rPr>
          <w:rFonts w:ascii="Aptos" w:hAnsi="Aptos"/>
          <w:sz w:val="21"/>
          <w:szCs w:val="21"/>
        </w:rPr>
        <w:t xml:space="preserve"> Operation Winter SHIELD distills the FBI’s </w:t>
      </w:r>
      <w:r w:rsidR="00FB2DB6">
        <w:rPr>
          <w:rFonts w:ascii="Aptos" w:hAnsi="Aptos"/>
          <w:sz w:val="21"/>
          <w:szCs w:val="21"/>
        </w:rPr>
        <w:t>10</w:t>
      </w:r>
      <w:r w:rsidR="00FB2DB6" w:rsidRPr="004E2D77">
        <w:rPr>
          <w:rFonts w:ascii="Aptos" w:hAnsi="Aptos"/>
          <w:sz w:val="21"/>
          <w:szCs w:val="21"/>
        </w:rPr>
        <w:t xml:space="preserve"> </w:t>
      </w:r>
      <w:r w:rsidRPr="004E2D77">
        <w:rPr>
          <w:rFonts w:ascii="Aptos" w:hAnsi="Aptos"/>
          <w:sz w:val="21"/>
          <w:szCs w:val="21"/>
        </w:rPr>
        <w:t xml:space="preserve">most impactful actions organizations can take to improve resilience against cyber intrusions. These recommendations </w:t>
      </w:r>
      <w:r w:rsidR="00336554" w:rsidRPr="004E2D77">
        <w:rPr>
          <w:rFonts w:ascii="Aptos" w:hAnsi="Aptos"/>
          <w:sz w:val="21"/>
          <w:szCs w:val="21"/>
        </w:rPr>
        <w:t>were developed with domestic and international partners and draw on recent investigations to reflect adversary behavior and defensive gaps</w:t>
      </w:r>
      <w:r w:rsidRPr="004E2D77">
        <w:rPr>
          <w:rFonts w:ascii="Aptos" w:hAnsi="Aptos"/>
          <w:sz w:val="21"/>
          <w:szCs w:val="21"/>
        </w:rPr>
        <w:t>.</w:t>
      </w:r>
    </w:p>
    <w:p w14:paraId="561AB2B7" w14:textId="1C25CCD8" w:rsidR="003D12B2" w:rsidRPr="004E2D77" w:rsidRDefault="00715952" w:rsidP="003D12B2">
      <w:pPr>
        <w:spacing w:after="240" w:line="240" w:lineRule="auto"/>
        <w:rPr>
          <w:rFonts w:ascii="Aptos" w:eastAsia="Aptos" w:hAnsi="Aptos" w:cs="Aptos"/>
          <w:b/>
          <w:bCs/>
          <w:sz w:val="21"/>
          <w:szCs w:val="21"/>
          <w14:ligatures w14:val="standardContextual"/>
        </w:rPr>
      </w:pPr>
      <w:bookmarkStart w:id="1" w:name="adopt-phish-resistant-authentication"/>
      <w:r w:rsidRPr="004E2D77">
        <w:rPr>
          <w:rFonts w:ascii="Aptos" w:hAnsi="Aptos"/>
          <w:b/>
          <w:sz w:val="21"/>
          <w:szCs w:val="21"/>
          <w14:ligatures w14:val="standardContextual"/>
        </w:rPr>
        <w:t xml:space="preserve">Adopt </w:t>
      </w:r>
      <w:r w:rsidR="00BE235A" w:rsidRPr="004E2D77">
        <w:rPr>
          <w:rFonts w:ascii="Aptos" w:eastAsia="Aptos" w:hAnsi="Aptos" w:cs="Aptos"/>
          <w:b/>
          <w:bCs/>
          <w:sz w:val="21"/>
          <w:szCs w:val="21"/>
          <w14:ligatures w14:val="standardContextual"/>
        </w:rPr>
        <w:t>phish</w:t>
      </w:r>
      <w:r w:rsidRPr="004E2D77">
        <w:rPr>
          <w:rFonts w:ascii="Aptos" w:hAnsi="Aptos"/>
          <w:b/>
          <w:sz w:val="21"/>
          <w:szCs w:val="21"/>
          <w14:ligatures w14:val="standardContextual"/>
        </w:rPr>
        <w:t>-resistant authentication</w:t>
      </w:r>
    </w:p>
    <w:p w14:paraId="0EDB5F3A" w14:textId="2912E775" w:rsidR="001D7E35" w:rsidRPr="004E2D77" w:rsidRDefault="00BE235A" w:rsidP="0087598B">
      <w:pPr>
        <w:rPr>
          <w:rFonts w:ascii="Aptos" w:eastAsia="Aptos" w:hAnsi="Aptos" w:cs="Aptos"/>
          <w:sz w:val="21"/>
          <w:szCs w:val="21"/>
          <w14:ligatures w14:val="standardContextual"/>
        </w:rPr>
      </w:pPr>
      <w:r w:rsidRPr="004E2D77">
        <w:rPr>
          <w:rFonts w:ascii="Aptos" w:eastAsia="Aptos" w:hAnsi="Aptos" w:cs="Aptos"/>
          <w:b/>
          <w:bCs/>
          <w:sz w:val="21"/>
          <w:szCs w:val="21"/>
          <w14:ligatures w14:val="standardContextual"/>
        </w:rPr>
        <w:t xml:space="preserve">Why: </w:t>
      </w:r>
      <w:r w:rsidRPr="004E2D77">
        <w:rPr>
          <w:rFonts w:ascii="Aptos" w:eastAsia="Aptos" w:hAnsi="Aptos" w:cs="Aptos"/>
          <w:sz w:val="21"/>
          <w:szCs w:val="21"/>
          <w14:ligatures w14:val="standardContextual"/>
        </w:rPr>
        <w:t xml:space="preserve">Many breaches start with stolen passwords. Phish-resistant </w:t>
      </w:r>
      <w:r w:rsidR="002D5116" w:rsidRPr="004E2D77">
        <w:rPr>
          <w:rFonts w:ascii="Aptos" w:eastAsia="Aptos" w:hAnsi="Aptos" w:cs="Aptos"/>
          <w:sz w:val="21"/>
          <w:szCs w:val="21"/>
          <w14:ligatures w14:val="standardContextual"/>
        </w:rPr>
        <w:t xml:space="preserve">authentication </w:t>
      </w:r>
      <w:r w:rsidR="002D5116" w:rsidRPr="004E2D77">
        <w:rPr>
          <w:rFonts w:ascii="Aptos" w:hAnsi="Aptos"/>
          <w:sz w:val="21"/>
          <w:szCs w:val="21"/>
        </w:rPr>
        <w:t xml:space="preserve">makes </w:t>
      </w:r>
      <w:r w:rsidR="001D7E35" w:rsidRPr="004E2D77">
        <w:rPr>
          <w:rFonts w:ascii="Aptos" w:eastAsia="Aptos" w:hAnsi="Aptos" w:cs="Aptos"/>
          <w:sz w:val="21"/>
          <w:szCs w:val="21"/>
          <w14:ligatures w14:val="standardContextual"/>
        </w:rPr>
        <w:t>it significantly harder and more costly for attackers to gain access.</w:t>
      </w:r>
    </w:p>
    <w:p w14:paraId="2A8FF10E" w14:textId="55463298" w:rsidR="00AD0A02" w:rsidRPr="004E2D77" w:rsidRDefault="00BE235A" w:rsidP="0087598B">
      <w:pPr>
        <w:rPr>
          <w:rFonts w:ascii="Aptos" w:hAnsi="Aptos"/>
          <w:b/>
          <w:sz w:val="21"/>
          <w:szCs w:val="21"/>
          <w14:ligatures w14:val="standardContextual"/>
        </w:rPr>
      </w:pPr>
      <w:r w:rsidRPr="004E2D77">
        <w:rPr>
          <w:rFonts w:ascii="Aptos" w:hAnsi="Aptos"/>
          <w:b/>
          <w:sz w:val="21"/>
          <w:szCs w:val="21"/>
          <w14:ligatures w14:val="standardContextual"/>
        </w:rPr>
        <w:t>Start now:</w:t>
      </w:r>
    </w:p>
    <w:p w14:paraId="4F79A454" w14:textId="3851352B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Prioritize administrators, executives, and other high-impact accounts.</w:t>
      </w:r>
    </w:p>
    <w:p w14:paraId="08A21BA9" w14:textId="731D54FF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Deploy phish-resistant methods (FIDO security keys or device-bound passkeys) for authentication, remote access, and critical systems.</w:t>
      </w:r>
    </w:p>
    <w:p w14:paraId="4E0BE082" w14:textId="31E59A28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If authenticator apps are used, require number-matching and domain display; avoid push-only approvals.</w:t>
      </w:r>
    </w:p>
    <w:p w14:paraId="38B0CB52" w14:textId="1FEB03C4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Eliminate SMS codes for high-risk users and disable legacy authentication methods.</w:t>
      </w:r>
    </w:p>
    <w:p w14:paraId="2AA01DC0" w14:textId="3038E001" w:rsidR="00AD0A02" w:rsidRPr="004E2D77" w:rsidRDefault="00715952" w:rsidP="008C39B7">
      <w:pPr>
        <w:spacing w:before="100" w:beforeAutospacing="1" w:after="100" w:afterAutospacing="1" w:line="240" w:lineRule="auto"/>
        <w:outlineLvl w:val="2"/>
        <w:rPr>
          <w:rFonts w:ascii="Aptos" w:hAnsi="Aptos"/>
          <w:b/>
          <w:color w:val="000000"/>
          <w:sz w:val="21"/>
          <w:szCs w:val="21"/>
        </w:rPr>
      </w:pPr>
      <w:bookmarkStart w:id="2" w:name="X113606f6e15da6c84ce8f7bb9519d5e709b4f81"/>
      <w:bookmarkEnd w:id="1"/>
      <w:r w:rsidRPr="004E2D77">
        <w:rPr>
          <w:rFonts w:ascii="Aptos" w:hAnsi="Aptos"/>
          <w:b/>
          <w:color w:val="000000"/>
          <w:sz w:val="21"/>
          <w:szCs w:val="21"/>
        </w:rPr>
        <w:t xml:space="preserve">Implement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a risk-based vulnerability management program</w:t>
      </w:r>
    </w:p>
    <w:p w14:paraId="5BA21927" w14:textId="3315A5EF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Why:</w:t>
      </w:r>
      <w:r w:rsidRPr="004E2D77">
        <w:rPr>
          <w:rFonts w:ascii="Aptos" w:hAnsi="Aptos"/>
          <w:sz w:val="21"/>
          <w:szCs w:val="21"/>
        </w:rPr>
        <w:t xml:space="preserve"> Adversaries </w:t>
      </w:r>
      <w:r w:rsidR="003D1B14" w:rsidRPr="004E2D77">
        <w:rPr>
          <w:rFonts w:ascii="Aptos" w:hAnsi="Aptos"/>
          <w:sz w:val="21"/>
          <w:szCs w:val="21"/>
        </w:rPr>
        <w:t>often</w:t>
      </w:r>
      <w:r w:rsidR="005656EF" w:rsidRPr="004E2D77">
        <w:rPr>
          <w:rFonts w:ascii="Aptos" w:hAnsi="Aptos"/>
          <w:sz w:val="21"/>
          <w:szCs w:val="21"/>
        </w:rPr>
        <w:t xml:space="preserve"> </w:t>
      </w:r>
      <w:r w:rsidRPr="004E2D77">
        <w:rPr>
          <w:rFonts w:ascii="Aptos" w:hAnsi="Aptos"/>
          <w:sz w:val="21"/>
          <w:szCs w:val="21"/>
        </w:rPr>
        <w:t xml:space="preserve">exploit known vulnerabilities that </w:t>
      </w:r>
      <w:r w:rsidR="00F33676" w:rsidRPr="004E2D77">
        <w:rPr>
          <w:rFonts w:ascii="Aptos" w:hAnsi="Aptos"/>
          <w:sz w:val="21"/>
          <w:szCs w:val="21"/>
        </w:rPr>
        <w:t>remain unaddressed due to</w:t>
      </w:r>
      <w:r w:rsidR="00381A07">
        <w:rPr>
          <w:rFonts w:ascii="Aptos" w:hAnsi="Aptos"/>
          <w:sz w:val="21"/>
          <w:szCs w:val="21"/>
        </w:rPr>
        <w:t xml:space="preserve"> a</w:t>
      </w:r>
      <w:r w:rsidR="00F33676" w:rsidRPr="004E2D77">
        <w:rPr>
          <w:rFonts w:ascii="Aptos" w:hAnsi="Aptos"/>
          <w:sz w:val="21"/>
          <w:szCs w:val="21"/>
        </w:rPr>
        <w:t xml:space="preserve"> lack of ownership, a defined mitigation process, and</w:t>
      </w:r>
      <w:r w:rsidR="00C03B5D">
        <w:rPr>
          <w:rFonts w:ascii="Aptos" w:hAnsi="Aptos"/>
          <w:sz w:val="21"/>
          <w:szCs w:val="21"/>
        </w:rPr>
        <w:t xml:space="preserve"> clear</w:t>
      </w:r>
      <w:r w:rsidR="00F33676" w:rsidRPr="004E2D77">
        <w:rPr>
          <w:rFonts w:ascii="Aptos" w:hAnsi="Aptos"/>
          <w:sz w:val="21"/>
          <w:szCs w:val="21"/>
        </w:rPr>
        <w:t xml:space="preserve"> deadlines for resolution.</w:t>
      </w:r>
    </w:p>
    <w:p w14:paraId="74ABD52A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7F1DB0F4" w14:textId="17E0BF21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Maintain a complete asset inventory with owners and business criticality.</w:t>
      </w:r>
    </w:p>
    <w:p w14:paraId="311A74DB" w14:textId="7D5AA7EB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Set remediation timelines based on risk; critical systems should be measured in days, not months.</w:t>
      </w:r>
    </w:p>
    <w:p w14:paraId="5F01C4E8" w14:textId="2B7AE24B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Use authenticated internal scans to reflect actual configurations.</w:t>
      </w:r>
    </w:p>
    <w:p w14:paraId="61EBDFD5" w14:textId="77777777" w:rsidR="00AD0A02" w:rsidRPr="004E2D77" w:rsidRDefault="00715952" w:rsidP="008C39B7">
      <w:pPr>
        <w:numPr>
          <w:ilvl w:val="0"/>
          <w:numId w:val="12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Document exceptions with compensating controls and fixed completion dates.</w:t>
      </w:r>
    </w:p>
    <w:p w14:paraId="06941C35" w14:textId="789B726B" w:rsidR="00AD0A02" w:rsidRPr="004E2D77" w:rsidRDefault="00715952" w:rsidP="008C39B7">
      <w:pPr>
        <w:spacing w:before="100" w:beforeAutospacing="1" w:after="100" w:afterAutospacing="1"/>
        <w:rPr>
          <w:rFonts w:ascii="Aptos" w:hAnsi="Aptos"/>
          <w:sz w:val="21"/>
          <w:szCs w:val="21"/>
        </w:rPr>
      </w:pPr>
      <w:bookmarkStart w:id="3" w:name="track-and-retire-end-of-life-technology"/>
      <w:bookmarkEnd w:id="2"/>
      <w:r w:rsidRPr="004E2D77">
        <w:rPr>
          <w:rFonts w:ascii="Aptos" w:hAnsi="Aptos"/>
          <w:b/>
          <w:color w:val="000000"/>
          <w:sz w:val="21"/>
          <w:szCs w:val="21"/>
        </w:rPr>
        <w:t xml:space="preserve">Track and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retire end-of-life technology on a defined schedule</w:t>
      </w:r>
    </w:p>
    <w:p w14:paraId="7B0AE34F" w14:textId="4108CA98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Why:</w:t>
      </w:r>
      <w:r w:rsidRPr="004E2D77">
        <w:rPr>
          <w:rFonts w:ascii="Aptos" w:hAnsi="Aptos"/>
          <w:sz w:val="21"/>
          <w:szCs w:val="21"/>
        </w:rPr>
        <w:t xml:space="preserve"> End-of-life systems no longer receive security updates and are routinely targeted.</w:t>
      </w:r>
    </w:p>
    <w:p w14:paraId="6BBF4788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24281396" w14:textId="3E18F030" w:rsidR="00AD0A02" w:rsidRPr="004E2D77" w:rsidRDefault="00715952" w:rsidP="008C39B7">
      <w:pPr>
        <w:numPr>
          <w:ilvl w:val="0"/>
          <w:numId w:val="14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Maintain a rolling 12-month EOL forecast</w:t>
      </w:r>
      <w:r w:rsidR="009B36D1">
        <w:rPr>
          <w:rFonts w:ascii="Aptos" w:hAnsi="Aptos"/>
          <w:sz w:val="21"/>
          <w:szCs w:val="21"/>
        </w:rPr>
        <w:t>,</w:t>
      </w:r>
      <w:r w:rsidRPr="004E2D77">
        <w:rPr>
          <w:rFonts w:ascii="Aptos" w:hAnsi="Aptos"/>
          <w:sz w:val="21"/>
          <w:szCs w:val="21"/>
        </w:rPr>
        <w:t xml:space="preserve"> reviewed quarterly with owners and procurement.</w:t>
      </w:r>
    </w:p>
    <w:p w14:paraId="3084199D" w14:textId="44D85390" w:rsidR="00AD0A02" w:rsidRPr="004E2D77" w:rsidRDefault="00715952" w:rsidP="008C39B7">
      <w:pPr>
        <w:numPr>
          <w:ilvl w:val="0"/>
          <w:numId w:val="14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Track EOL systems by product, owner, location, and retirement date.</w:t>
      </w:r>
    </w:p>
    <w:p w14:paraId="56D777BF" w14:textId="22492F35" w:rsidR="00AD0A02" w:rsidRPr="004E2D77" w:rsidRDefault="00715952" w:rsidP="008C39B7">
      <w:pPr>
        <w:numPr>
          <w:ilvl w:val="0"/>
          <w:numId w:val="14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Replace or isolate EOL assets; if delays occur, apply compensating controls with firm decommission dates.</w:t>
      </w:r>
    </w:p>
    <w:p w14:paraId="2E06D104" w14:textId="126B13C8" w:rsidR="00AD0A02" w:rsidRPr="004E2D77" w:rsidRDefault="00715952" w:rsidP="003C19F4">
      <w:pPr>
        <w:spacing w:before="100" w:beforeAutospacing="1" w:after="100" w:afterAutospacing="1" w:line="240" w:lineRule="auto"/>
        <w:outlineLvl w:val="2"/>
        <w:rPr>
          <w:rFonts w:ascii="Aptos" w:hAnsi="Aptos"/>
          <w:b/>
          <w:color w:val="000000"/>
          <w:sz w:val="21"/>
          <w:szCs w:val="21"/>
        </w:rPr>
      </w:pPr>
      <w:bookmarkStart w:id="4" w:name="manage-third-party-risk"/>
      <w:bookmarkEnd w:id="3"/>
      <w:r w:rsidRPr="004E2D77">
        <w:rPr>
          <w:rFonts w:ascii="Aptos" w:hAnsi="Aptos"/>
          <w:b/>
          <w:color w:val="000000"/>
          <w:sz w:val="21"/>
          <w:szCs w:val="21"/>
        </w:rPr>
        <w:t xml:space="preserve">Manage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third-party risk</w:t>
      </w:r>
    </w:p>
    <w:p w14:paraId="568D5E0B" w14:textId="652AAE16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color w:val="000000"/>
          <w:sz w:val="21"/>
          <w:szCs w:val="21"/>
        </w:rPr>
        <w:t>Why</w:t>
      </w:r>
      <w:r w:rsidRPr="004E2D77">
        <w:rPr>
          <w:rFonts w:ascii="Aptos" w:hAnsi="Aptos"/>
          <w:color w:val="000000"/>
          <w:sz w:val="21"/>
          <w:szCs w:val="21"/>
        </w:rPr>
        <w:t xml:space="preserve">: </w:t>
      </w:r>
      <w:r w:rsidR="00F9158C" w:rsidRPr="004E2D77">
        <w:rPr>
          <w:rFonts w:ascii="Aptos" w:hAnsi="Aptos"/>
          <w:sz w:val="21"/>
          <w:szCs w:val="21"/>
        </w:rPr>
        <w:t>Third parties</w:t>
      </w:r>
      <w:r w:rsidR="009B4FE4" w:rsidRPr="004E2D77">
        <w:rPr>
          <w:rFonts w:ascii="Aptos" w:hAnsi="Aptos"/>
          <w:sz w:val="21"/>
          <w:szCs w:val="21"/>
        </w:rPr>
        <w:t xml:space="preserve"> </w:t>
      </w:r>
      <w:r w:rsidRPr="004E2D77">
        <w:rPr>
          <w:rFonts w:ascii="Aptos" w:hAnsi="Aptos"/>
          <w:sz w:val="21"/>
          <w:szCs w:val="21"/>
        </w:rPr>
        <w:t>with network or data access are frequent intrusion paths.</w:t>
      </w:r>
      <w:r w:rsidR="000D57BA" w:rsidRPr="004E2D77">
        <w:rPr>
          <w:rFonts w:ascii="Aptos" w:hAnsi="Aptos"/>
          <w:sz w:val="21"/>
          <w:szCs w:val="21"/>
        </w:rPr>
        <w:t xml:space="preserve"> By exploiting vendors and other </w:t>
      </w:r>
      <w:r w:rsidR="00C70C94" w:rsidRPr="004E2D77">
        <w:rPr>
          <w:rFonts w:ascii="Aptos" w:hAnsi="Aptos"/>
          <w:sz w:val="21"/>
          <w:szCs w:val="21"/>
        </w:rPr>
        <w:t xml:space="preserve">partners, </w:t>
      </w:r>
      <w:r w:rsidR="00F41BA2" w:rsidRPr="004E2D77">
        <w:rPr>
          <w:rFonts w:ascii="Aptos" w:hAnsi="Aptos"/>
          <w:sz w:val="21"/>
          <w:szCs w:val="21"/>
        </w:rPr>
        <w:t>attackers</w:t>
      </w:r>
      <w:r w:rsidR="00C70C94" w:rsidRPr="004E2D77">
        <w:rPr>
          <w:rFonts w:ascii="Aptos" w:hAnsi="Aptos"/>
          <w:sz w:val="21"/>
          <w:szCs w:val="21"/>
        </w:rPr>
        <w:t xml:space="preserve"> can bypass even the strongest security programs.</w:t>
      </w:r>
    </w:p>
    <w:p w14:paraId="085DB2CD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lastRenderedPageBreak/>
        <w:t>Start now:</w:t>
      </w:r>
    </w:p>
    <w:p w14:paraId="0DA11E0B" w14:textId="316567F9" w:rsidR="00AD0A02" w:rsidRPr="004E2D77" w:rsidRDefault="00715952" w:rsidP="008C39B7">
      <w:pPr>
        <w:numPr>
          <w:ilvl w:val="0"/>
          <w:numId w:val="15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Maintain a single list of third parties with access or data</w:t>
      </w:r>
      <w:r w:rsidR="00C94912">
        <w:rPr>
          <w:rFonts w:ascii="Aptos" w:hAnsi="Aptos"/>
          <w:sz w:val="21"/>
          <w:szCs w:val="21"/>
        </w:rPr>
        <w:t>-</w:t>
      </w:r>
      <w:r w:rsidRPr="004E2D77">
        <w:rPr>
          <w:rFonts w:ascii="Aptos" w:hAnsi="Aptos"/>
          <w:sz w:val="21"/>
          <w:szCs w:val="21"/>
        </w:rPr>
        <w:t>handling responsibilities</w:t>
      </w:r>
      <w:r w:rsidR="00A57608">
        <w:rPr>
          <w:rFonts w:ascii="Aptos" w:hAnsi="Aptos"/>
          <w:sz w:val="21"/>
          <w:szCs w:val="21"/>
        </w:rPr>
        <w:t>,</w:t>
      </w:r>
      <w:r w:rsidRPr="004E2D77">
        <w:rPr>
          <w:rFonts w:ascii="Aptos" w:hAnsi="Aptos"/>
          <w:sz w:val="21"/>
          <w:szCs w:val="21"/>
        </w:rPr>
        <w:t xml:space="preserve"> and named owners.</w:t>
      </w:r>
    </w:p>
    <w:p w14:paraId="790A4EFB" w14:textId="488ACF8B" w:rsidR="00AD0A02" w:rsidRPr="004E2D77" w:rsidRDefault="00715952" w:rsidP="008C39B7">
      <w:pPr>
        <w:numPr>
          <w:ilvl w:val="0"/>
          <w:numId w:val="15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Require strong authentication, least-privilege access, and monitored gateways where feasible.</w:t>
      </w:r>
    </w:p>
    <w:p w14:paraId="1B84DBDC" w14:textId="55390617" w:rsidR="00AD0A02" w:rsidRPr="004E2D77" w:rsidRDefault="00715952" w:rsidP="008C39B7">
      <w:pPr>
        <w:numPr>
          <w:ilvl w:val="0"/>
          <w:numId w:val="15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Remove dormant access promptly.</w:t>
      </w:r>
    </w:p>
    <w:p w14:paraId="52F35752" w14:textId="5672F437" w:rsidR="00AD0A02" w:rsidRPr="004E2D77" w:rsidRDefault="00715952" w:rsidP="008C39B7">
      <w:pPr>
        <w:numPr>
          <w:ilvl w:val="0"/>
          <w:numId w:val="15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Contractually require rapid breach notification, encryption, and annual control verification.</w:t>
      </w:r>
    </w:p>
    <w:p w14:paraId="5C69BACE" w14:textId="60E6D374" w:rsidR="00AD0A02" w:rsidRPr="004E2D77" w:rsidRDefault="00715952" w:rsidP="008C39B7">
      <w:pPr>
        <w:numPr>
          <w:ilvl w:val="0"/>
          <w:numId w:val="15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Revoke access and confirm data disposition upon contract change or termination.</w:t>
      </w:r>
    </w:p>
    <w:p w14:paraId="5DAFFDDC" w14:textId="6A69320D" w:rsidR="00AD0A02" w:rsidRPr="004E2D77" w:rsidRDefault="00715952" w:rsidP="003C19F4">
      <w:pPr>
        <w:spacing w:before="100" w:beforeAutospacing="1" w:after="100" w:afterAutospacing="1" w:line="240" w:lineRule="auto"/>
        <w:outlineLvl w:val="2"/>
        <w:rPr>
          <w:rFonts w:ascii="Aptos" w:hAnsi="Aptos"/>
          <w:b/>
          <w:color w:val="000000"/>
          <w:sz w:val="21"/>
          <w:szCs w:val="21"/>
        </w:rPr>
      </w:pPr>
      <w:bookmarkStart w:id="5" w:name="protect-and-retain-security-logs"/>
      <w:bookmarkEnd w:id="4"/>
      <w:r w:rsidRPr="004E2D77">
        <w:rPr>
          <w:rFonts w:ascii="Aptos" w:hAnsi="Aptos"/>
          <w:b/>
          <w:color w:val="000000"/>
          <w:sz w:val="21"/>
          <w:szCs w:val="21"/>
        </w:rPr>
        <w:t xml:space="preserve">Protect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 xml:space="preserve">security logs and preserve </w:t>
      </w:r>
      <w:r w:rsidR="007C6B75">
        <w:rPr>
          <w:rFonts w:ascii="Aptos" w:eastAsia="Times New Roman" w:hAnsi="Aptos" w:cs="Aptos"/>
          <w:b/>
          <w:bCs/>
          <w:color w:val="000000"/>
          <w:sz w:val="21"/>
          <w:szCs w:val="21"/>
        </w:rPr>
        <w:t xml:space="preserve">them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 xml:space="preserve">for an appropriate </w:t>
      </w:r>
      <w:r w:rsidR="00856DE9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time</w:t>
      </w:r>
    </w:p>
    <w:p w14:paraId="43AAC267" w14:textId="77777777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bCs/>
          <w:sz w:val="21"/>
          <w:szCs w:val="21"/>
        </w:rPr>
        <w:t>Why:</w:t>
      </w:r>
      <w:r w:rsidRPr="004E2D77">
        <w:rPr>
          <w:rFonts w:ascii="Aptos" w:hAnsi="Aptos"/>
          <w:sz w:val="21"/>
          <w:szCs w:val="21"/>
        </w:rPr>
        <w:t xml:space="preserve"> Reliable, preserved logs are essential for detection, response, and attribution. Adversaries often attempt to erase them.</w:t>
      </w:r>
    </w:p>
    <w:p w14:paraId="08F0CF53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194E57D4" w14:textId="0BB42FEF" w:rsidR="00AD0A02" w:rsidRPr="004E2D77" w:rsidRDefault="00715952" w:rsidP="008C39B7">
      <w:pPr>
        <w:numPr>
          <w:ilvl w:val="0"/>
          <w:numId w:val="16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Centralize authentication, email, endpoint, network, DNS, and cloud audit logs; export daily to protected, immutable storage.</w:t>
      </w:r>
    </w:p>
    <w:p w14:paraId="6D8C2E17" w14:textId="7FCBAB90" w:rsidR="00AD0A02" w:rsidRPr="004E2D77" w:rsidRDefault="00715952" w:rsidP="008C39B7">
      <w:pPr>
        <w:numPr>
          <w:ilvl w:val="0"/>
          <w:numId w:val="16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Retain logs based on legal and response needs (12 months is a common baseline).</w:t>
      </w:r>
    </w:p>
    <w:p w14:paraId="35D10C89" w14:textId="2086F9B6" w:rsidR="00AD0A02" w:rsidRPr="004E2D77" w:rsidRDefault="00715952" w:rsidP="008C39B7">
      <w:pPr>
        <w:numPr>
          <w:ilvl w:val="0"/>
          <w:numId w:val="16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Synchronize system clocks and validate retention.</w:t>
      </w:r>
    </w:p>
    <w:p w14:paraId="2FDAB811" w14:textId="423F1F5D" w:rsidR="00AD0A02" w:rsidRPr="004E2D77" w:rsidRDefault="00715952" w:rsidP="008C39B7">
      <w:pPr>
        <w:numPr>
          <w:ilvl w:val="0"/>
          <w:numId w:val="16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Quarterly, generate a full incident timeline for a selected user and server to identify gaps.</w:t>
      </w:r>
    </w:p>
    <w:p w14:paraId="0998FC74" w14:textId="5513C7FF" w:rsidR="00AD0A02" w:rsidRPr="004E2D77" w:rsidRDefault="00715952" w:rsidP="003C19F4">
      <w:pPr>
        <w:spacing w:before="100" w:beforeAutospacing="1" w:after="100" w:afterAutospacing="1" w:line="240" w:lineRule="auto"/>
        <w:outlineLvl w:val="2"/>
        <w:rPr>
          <w:rFonts w:ascii="Aptos" w:hAnsi="Aptos"/>
          <w:b/>
          <w:color w:val="000000"/>
          <w:sz w:val="21"/>
          <w:szCs w:val="21"/>
        </w:rPr>
      </w:pPr>
      <w:bookmarkStart w:id="6" w:name="maintain-offline-immutable-backups"/>
      <w:bookmarkEnd w:id="5"/>
      <w:r w:rsidRPr="004E2D77">
        <w:rPr>
          <w:rFonts w:ascii="Aptos" w:hAnsi="Aptos"/>
          <w:b/>
          <w:color w:val="000000"/>
          <w:sz w:val="21"/>
          <w:szCs w:val="21"/>
        </w:rPr>
        <w:t xml:space="preserve">Maintain </w:t>
      </w:r>
      <w:r w:rsidR="006111FB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offline</w:t>
      </w:r>
      <w:r w:rsidR="00242868">
        <w:rPr>
          <w:rFonts w:ascii="Aptos" w:eastAsia="Times New Roman" w:hAnsi="Aptos" w:cs="Aptos"/>
          <w:b/>
          <w:bCs/>
          <w:color w:val="000000"/>
          <w:sz w:val="21"/>
          <w:szCs w:val="21"/>
        </w:rPr>
        <w:t>,</w:t>
      </w:r>
      <w:r w:rsidR="006111FB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 xml:space="preserve"> immutable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 xml:space="preserve"> backups and test restoration</w:t>
      </w:r>
    </w:p>
    <w:p w14:paraId="4D19A0B7" w14:textId="433AC389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color w:val="000000"/>
          <w:sz w:val="21"/>
          <w:szCs w:val="21"/>
        </w:rPr>
        <w:t>Why</w:t>
      </w:r>
      <w:r w:rsidRPr="004E2D77">
        <w:rPr>
          <w:rFonts w:ascii="Aptos" w:hAnsi="Aptos"/>
          <w:b/>
          <w:sz w:val="21"/>
          <w:szCs w:val="21"/>
        </w:rPr>
        <w:t>:</w:t>
      </w:r>
      <w:r w:rsidRPr="004E2D77">
        <w:rPr>
          <w:rFonts w:ascii="Aptos" w:hAnsi="Aptos"/>
          <w:sz w:val="21"/>
          <w:szCs w:val="21"/>
        </w:rPr>
        <w:t xml:space="preserve"> Backups are routinely targeted early in intrusions; resilience depends on isolation and tested recovery.</w:t>
      </w:r>
    </w:p>
    <w:p w14:paraId="6B377D9F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4ADB213D" w14:textId="51C442F8" w:rsidR="00AD0A02" w:rsidRPr="004E2D77" w:rsidRDefault="00715952" w:rsidP="008C39B7">
      <w:pPr>
        <w:numPr>
          <w:ilvl w:val="0"/>
          <w:numId w:val="17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Maintain at least one offline or immutable backup for critical systems and data.</w:t>
      </w:r>
    </w:p>
    <w:p w14:paraId="53971154" w14:textId="5A698992" w:rsidR="00AD0A02" w:rsidRPr="004E2D77" w:rsidRDefault="00715952" w:rsidP="008C39B7">
      <w:pPr>
        <w:numPr>
          <w:ilvl w:val="0"/>
          <w:numId w:val="17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Secure backup platforms with strong authentication, separate admin accounts, and restricted consoles.</w:t>
      </w:r>
    </w:p>
    <w:p w14:paraId="65809A21" w14:textId="23B45095" w:rsidR="00AD0A02" w:rsidRPr="004E2D77" w:rsidRDefault="00715952" w:rsidP="008C39B7">
      <w:pPr>
        <w:numPr>
          <w:ilvl w:val="0"/>
          <w:numId w:val="17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Define recovery requirements, including configurations and identity systems.</w:t>
      </w:r>
    </w:p>
    <w:p w14:paraId="11A5E34B" w14:textId="754ECE66" w:rsidR="00AD0A02" w:rsidRPr="004E2D77" w:rsidRDefault="00715952" w:rsidP="008C39B7">
      <w:pPr>
        <w:numPr>
          <w:ilvl w:val="0"/>
          <w:numId w:val="17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Test restorations regularly, measure recovery time, and remediate gaps.</w:t>
      </w:r>
    </w:p>
    <w:p w14:paraId="57D55977" w14:textId="77777777" w:rsidR="00BE235A" w:rsidRPr="004E2D77" w:rsidRDefault="00BE235A" w:rsidP="003D12B2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ptos"/>
          <w:b/>
          <w:bCs/>
          <w:color w:val="000000"/>
          <w:sz w:val="21"/>
          <w:szCs w:val="21"/>
        </w:rPr>
      </w:pPr>
      <w:r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Identify, inventory, and protect internet-facing systems and services</w:t>
      </w:r>
    </w:p>
    <w:p w14:paraId="01803621" w14:textId="67F83622" w:rsidR="00AD0A02" w:rsidRPr="004E2D77" w:rsidRDefault="00715952" w:rsidP="007825D5">
      <w:pPr>
        <w:rPr>
          <w:rFonts w:ascii="Aptos" w:hAnsi="Aptos"/>
          <w:sz w:val="21"/>
          <w:szCs w:val="21"/>
        </w:rPr>
      </w:pPr>
      <w:bookmarkStart w:id="7" w:name="X9eb04864c67dc6688488ead2ea9c887109c6c3a"/>
      <w:bookmarkEnd w:id="6"/>
      <w:r w:rsidRPr="004E2D77">
        <w:rPr>
          <w:rFonts w:ascii="Aptos" w:hAnsi="Aptos"/>
          <w:b/>
          <w:color w:val="000000"/>
          <w:sz w:val="21"/>
          <w:szCs w:val="21"/>
        </w:rPr>
        <w:t>Why</w:t>
      </w:r>
      <w:r w:rsidRPr="004E2D77">
        <w:rPr>
          <w:rFonts w:ascii="Aptos" w:hAnsi="Aptos"/>
          <w:color w:val="000000"/>
          <w:sz w:val="21"/>
          <w:szCs w:val="21"/>
        </w:rPr>
        <w:t>:</w:t>
      </w:r>
      <w:r w:rsidRPr="004E2D77">
        <w:rPr>
          <w:rFonts w:ascii="Aptos" w:hAnsi="Aptos"/>
          <w:sz w:val="21"/>
          <w:szCs w:val="21"/>
        </w:rPr>
        <w:t xml:space="preserve"> Unnecessary exposure creates low-effort entry points for attackers.</w:t>
      </w:r>
    </w:p>
    <w:p w14:paraId="2EA93946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2D070F7E" w14:textId="2F3524E2" w:rsidR="00AD0A02" w:rsidRPr="004E2D77" w:rsidRDefault="00715952" w:rsidP="008C39B7">
      <w:pPr>
        <w:numPr>
          <w:ilvl w:val="0"/>
          <w:numId w:val="18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Maintain a concise list of all internet-reachable systems with owners.</w:t>
      </w:r>
    </w:p>
    <w:p w14:paraId="02EA2AAF" w14:textId="12D46BE6" w:rsidR="00AD0A02" w:rsidRPr="004E2D77" w:rsidRDefault="00715952" w:rsidP="008C39B7">
      <w:pPr>
        <w:numPr>
          <w:ilvl w:val="0"/>
          <w:numId w:val="18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Remove unnecessary exposure; require authenticated gateways for what remains.</w:t>
      </w:r>
    </w:p>
    <w:p w14:paraId="6C74257F" w14:textId="6CAA22F4" w:rsidR="00AD0A02" w:rsidRPr="004E2D77" w:rsidRDefault="00715952" w:rsidP="008C39B7">
      <w:pPr>
        <w:numPr>
          <w:ilvl w:val="0"/>
          <w:numId w:val="18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Disable direct internet-facing remote desktop; use brokered access instead.</w:t>
      </w:r>
    </w:p>
    <w:p w14:paraId="3ECF57E3" w14:textId="77777777" w:rsidR="00AD0A02" w:rsidRPr="004E2D77" w:rsidRDefault="00715952" w:rsidP="008C39B7">
      <w:pPr>
        <w:numPr>
          <w:ilvl w:val="0"/>
          <w:numId w:val="18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Regularly scan public IP space to detect new exposures.</w:t>
      </w:r>
    </w:p>
    <w:p w14:paraId="3BDD453C" w14:textId="3A7E5D7A" w:rsidR="00AD0A02" w:rsidRPr="004E2D77" w:rsidRDefault="00715952" w:rsidP="003C19F4">
      <w:pPr>
        <w:spacing w:before="100" w:beforeAutospacing="1" w:after="100" w:afterAutospacing="1" w:line="240" w:lineRule="auto"/>
        <w:outlineLvl w:val="2"/>
        <w:rPr>
          <w:rFonts w:ascii="Aptos" w:hAnsi="Aptos"/>
          <w:b/>
          <w:color w:val="000000"/>
          <w:sz w:val="21"/>
          <w:szCs w:val="21"/>
        </w:rPr>
      </w:pPr>
      <w:bookmarkStart w:id="8" w:name="X3b52dcd1c0b2161afe212bc9b9687d44dc51ff3"/>
      <w:bookmarkEnd w:id="7"/>
      <w:r w:rsidRPr="004E2D77">
        <w:rPr>
          <w:rFonts w:ascii="Aptos" w:hAnsi="Aptos"/>
          <w:b/>
          <w:color w:val="000000"/>
          <w:sz w:val="21"/>
          <w:szCs w:val="21"/>
        </w:rPr>
        <w:t xml:space="preserve">Strengthen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email authentication and malicious content protections</w:t>
      </w:r>
    </w:p>
    <w:p w14:paraId="32B5E125" w14:textId="1A52771A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bCs/>
          <w:color w:val="000000"/>
          <w:sz w:val="21"/>
          <w:szCs w:val="21"/>
        </w:rPr>
        <w:t>Why:</w:t>
      </w:r>
      <w:r w:rsidRPr="004E2D77">
        <w:rPr>
          <w:rFonts w:ascii="Aptos" w:hAnsi="Aptos"/>
          <w:color w:val="000000"/>
          <w:sz w:val="21"/>
          <w:szCs w:val="21"/>
        </w:rPr>
        <w:t xml:space="preserve"> </w:t>
      </w:r>
      <w:r w:rsidRPr="004E2D77">
        <w:rPr>
          <w:rFonts w:ascii="Aptos" w:hAnsi="Aptos"/>
          <w:sz w:val="21"/>
          <w:szCs w:val="21"/>
        </w:rPr>
        <w:t xml:space="preserve">Email remains a </w:t>
      </w:r>
      <w:r w:rsidR="005F5F42" w:rsidRPr="004E2D77">
        <w:rPr>
          <w:rFonts w:ascii="Aptos" w:hAnsi="Aptos"/>
          <w:sz w:val="21"/>
          <w:szCs w:val="21"/>
        </w:rPr>
        <w:t xml:space="preserve">favored </w:t>
      </w:r>
      <w:r w:rsidRPr="004E2D77">
        <w:rPr>
          <w:rFonts w:ascii="Aptos" w:hAnsi="Aptos"/>
          <w:sz w:val="21"/>
          <w:szCs w:val="21"/>
        </w:rPr>
        <w:t>initial access vector for intrusions and fraud.</w:t>
      </w:r>
    </w:p>
    <w:p w14:paraId="068B13D3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20842ECA" w14:textId="541CB27C" w:rsidR="00AD0A02" w:rsidRPr="004E2D77" w:rsidRDefault="00715952" w:rsidP="008C39B7">
      <w:pPr>
        <w:numPr>
          <w:ilvl w:val="0"/>
          <w:numId w:val="19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Publish and enforce DMARC, SPF, and DKIM for all sending domains; align third-party senders.</w:t>
      </w:r>
    </w:p>
    <w:p w14:paraId="0A03CA83" w14:textId="37B111D6" w:rsidR="00AD0A02" w:rsidRPr="004E2D77" w:rsidRDefault="00715952" w:rsidP="008C39B7">
      <w:pPr>
        <w:numPr>
          <w:ilvl w:val="0"/>
          <w:numId w:val="19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Progress DMARC policy from monitoring to quarantine to reject as alignment matures.</w:t>
      </w:r>
    </w:p>
    <w:p w14:paraId="4E7CAFDF" w14:textId="0F488147" w:rsidR="00AD0A02" w:rsidRPr="004E2D77" w:rsidRDefault="00715952" w:rsidP="008C39B7">
      <w:pPr>
        <w:numPr>
          <w:ilvl w:val="0"/>
          <w:numId w:val="19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Quarantine high-risk attachments, block internet-sourced macros, and sandbox suspicious files.</w:t>
      </w:r>
    </w:p>
    <w:p w14:paraId="2073E544" w14:textId="7652D026" w:rsidR="00AD0A02" w:rsidRPr="004E2D77" w:rsidRDefault="00715952" w:rsidP="008C39B7">
      <w:pPr>
        <w:numPr>
          <w:ilvl w:val="0"/>
          <w:numId w:val="19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Enable time-of-click link protection and restrict automatic external forwarding.</w:t>
      </w:r>
    </w:p>
    <w:p w14:paraId="40070378" w14:textId="3367405F" w:rsidR="00AD0A02" w:rsidRPr="004E2D77" w:rsidRDefault="00715952" w:rsidP="003C19F4">
      <w:pPr>
        <w:spacing w:before="100" w:beforeAutospacing="1" w:after="100" w:afterAutospacing="1" w:line="240" w:lineRule="auto"/>
        <w:outlineLvl w:val="2"/>
        <w:rPr>
          <w:rFonts w:ascii="Aptos" w:hAnsi="Aptos"/>
          <w:b/>
          <w:color w:val="000000"/>
          <w:sz w:val="21"/>
          <w:szCs w:val="21"/>
        </w:rPr>
      </w:pPr>
      <w:bookmarkStart w:id="9" w:name="reduce-administrator-privileges"/>
      <w:bookmarkEnd w:id="8"/>
      <w:r w:rsidRPr="004E2D77">
        <w:rPr>
          <w:rFonts w:ascii="Aptos" w:hAnsi="Aptos"/>
          <w:b/>
          <w:color w:val="000000"/>
          <w:sz w:val="21"/>
          <w:szCs w:val="21"/>
        </w:rPr>
        <w:t xml:space="preserve">Reduce </w:t>
      </w:r>
      <w:r w:rsidR="00BE235A" w:rsidRPr="004E2D77">
        <w:rPr>
          <w:rFonts w:ascii="Aptos" w:eastAsia="Times New Roman" w:hAnsi="Aptos" w:cs="Aptos"/>
          <w:b/>
          <w:bCs/>
          <w:color w:val="000000"/>
          <w:sz w:val="21"/>
          <w:szCs w:val="21"/>
        </w:rPr>
        <w:t>administrator privileges</w:t>
      </w:r>
    </w:p>
    <w:p w14:paraId="681CD727" w14:textId="50108629" w:rsidR="00AD0A02" w:rsidRPr="004E2D77" w:rsidRDefault="00715952" w:rsidP="007825D5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bCs/>
          <w:color w:val="000000"/>
          <w:sz w:val="21"/>
          <w:szCs w:val="21"/>
        </w:rPr>
        <w:lastRenderedPageBreak/>
        <w:t>Why:</w:t>
      </w:r>
      <w:r w:rsidRPr="004E2D77">
        <w:rPr>
          <w:rFonts w:ascii="Aptos" w:hAnsi="Aptos"/>
          <w:color w:val="000000"/>
          <w:sz w:val="21"/>
          <w:szCs w:val="21"/>
        </w:rPr>
        <w:t xml:space="preserve"> </w:t>
      </w:r>
      <w:r w:rsidRPr="004E2D77">
        <w:rPr>
          <w:rFonts w:ascii="Aptos" w:hAnsi="Aptos"/>
          <w:sz w:val="21"/>
          <w:szCs w:val="21"/>
        </w:rPr>
        <w:t>Broad, persistent administrative access enables rapid escalation when credentials are compromised.</w:t>
      </w:r>
    </w:p>
    <w:p w14:paraId="3576D4BA" w14:textId="77777777" w:rsidR="00AD0A02" w:rsidRPr="004E2D77" w:rsidRDefault="00715952" w:rsidP="003C19F4">
      <w:pPr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2ACBAA14" w14:textId="24F7A64B" w:rsidR="00AD0A02" w:rsidRPr="004E2D77" w:rsidRDefault="00715952" w:rsidP="008C39B7">
      <w:pPr>
        <w:numPr>
          <w:ilvl w:val="0"/>
          <w:numId w:val="20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Minimize administrator accounts and group memberships.</w:t>
      </w:r>
    </w:p>
    <w:p w14:paraId="6248982E" w14:textId="390F1953" w:rsidR="00AD0A02" w:rsidRPr="004E2D77" w:rsidRDefault="00715952" w:rsidP="008C39B7">
      <w:pPr>
        <w:numPr>
          <w:ilvl w:val="0"/>
          <w:numId w:val="20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Require just-in-time admin access from secured devices using separate admin accounts.</w:t>
      </w:r>
    </w:p>
    <w:p w14:paraId="16031187" w14:textId="12DA9B97" w:rsidR="00AD0A02" w:rsidRPr="004E2D77" w:rsidRDefault="00715952" w:rsidP="008C39B7">
      <w:pPr>
        <w:numPr>
          <w:ilvl w:val="0"/>
          <w:numId w:val="20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Restrict where administrator logins are permitted and block use on standard workstations.</w:t>
      </w:r>
    </w:p>
    <w:p w14:paraId="0EC42257" w14:textId="628E0376" w:rsidR="00AD0A02" w:rsidRPr="004E2D77" w:rsidRDefault="00715952" w:rsidP="008C39B7">
      <w:pPr>
        <w:numPr>
          <w:ilvl w:val="0"/>
          <w:numId w:val="20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Monitor and alert on privilege changes and new admin accounts.</w:t>
      </w:r>
    </w:p>
    <w:p w14:paraId="15662339" w14:textId="38F8D6D2" w:rsidR="00AD0A02" w:rsidRPr="004E2D77" w:rsidRDefault="00715952" w:rsidP="008C39B7">
      <w:pPr>
        <w:numPr>
          <w:ilvl w:val="0"/>
          <w:numId w:val="20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Remove local admin rights from user devices, approving exceptions with expiration dates.</w:t>
      </w:r>
    </w:p>
    <w:p w14:paraId="6C412FA6" w14:textId="43855CEB" w:rsidR="00AD0A02" w:rsidRPr="004E2D77" w:rsidRDefault="00715952" w:rsidP="008C39B7">
      <w:pPr>
        <w:spacing w:before="100" w:beforeAutospacing="1" w:after="100" w:afterAutospacing="1" w:line="240" w:lineRule="auto"/>
        <w:rPr>
          <w:rFonts w:ascii="Aptos" w:hAnsi="Aptos"/>
          <w:b/>
          <w:sz w:val="21"/>
          <w:szCs w:val="21"/>
          <w14:ligatures w14:val="standardContextual"/>
        </w:rPr>
      </w:pPr>
      <w:bookmarkStart w:id="10" w:name="X30bcadacc6655d8b5d0a79d48aff174d5d17372"/>
      <w:bookmarkEnd w:id="9"/>
      <w:r w:rsidRPr="004E2D77">
        <w:rPr>
          <w:rFonts w:ascii="Aptos" w:hAnsi="Aptos"/>
          <w:b/>
          <w:sz w:val="21"/>
          <w:szCs w:val="21"/>
          <w14:ligatures w14:val="standardContextual"/>
        </w:rPr>
        <w:t xml:space="preserve">Exercise </w:t>
      </w:r>
      <w:r w:rsidR="00BE235A" w:rsidRPr="004E2D77">
        <w:rPr>
          <w:rFonts w:ascii="Aptos" w:eastAsia="Aptos" w:hAnsi="Aptos" w:cs="Aptos"/>
          <w:b/>
          <w:bCs/>
          <w:sz w:val="21"/>
          <w:szCs w:val="21"/>
          <w14:ligatures w14:val="standardContextual"/>
        </w:rPr>
        <w:t>your incident response plan with all stakeholders</w:t>
      </w:r>
    </w:p>
    <w:p w14:paraId="1BCDD7DC" w14:textId="3D003AE2" w:rsidR="00AD0A02" w:rsidRPr="004E2D77" w:rsidRDefault="00715952" w:rsidP="007825D5">
      <w:pPr>
        <w:spacing w:line="240" w:lineRule="auto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  <w14:ligatures w14:val="standardContextual"/>
        </w:rPr>
        <w:t>Why:</w:t>
      </w:r>
      <w:r w:rsidRPr="004E2D77">
        <w:rPr>
          <w:rFonts w:ascii="Aptos" w:hAnsi="Aptos"/>
          <w:sz w:val="21"/>
          <w:szCs w:val="21"/>
        </w:rPr>
        <w:t xml:space="preserve"> Practiced organizations respond faster, contain more effectively, and reduce impact.</w:t>
      </w:r>
    </w:p>
    <w:p w14:paraId="42DEE39F" w14:textId="77777777" w:rsidR="00AD0A02" w:rsidRPr="004E2D77" w:rsidRDefault="00715952" w:rsidP="008C39B7">
      <w:pPr>
        <w:spacing w:after="100" w:afterAutospacing="1" w:line="240" w:lineRule="auto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b/>
          <w:sz w:val="21"/>
          <w:szCs w:val="21"/>
        </w:rPr>
        <w:t>Start now:</w:t>
      </w:r>
    </w:p>
    <w:p w14:paraId="7BCF1649" w14:textId="5149D291" w:rsidR="00AD0A02" w:rsidRPr="004E2D77" w:rsidRDefault="00715952" w:rsidP="008C39B7">
      <w:pPr>
        <w:numPr>
          <w:ilvl w:val="0"/>
          <w:numId w:val="21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Maintain a concise incident response playbook defining roles, decisions, isolation actions, and evidence preservation.</w:t>
      </w:r>
    </w:p>
    <w:p w14:paraId="5296F251" w14:textId="061221BD" w:rsidR="00AD0A02" w:rsidRPr="004E2D77" w:rsidRDefault="00715952" w:rsidP="008C39B7">
      <w:pPr>
        <w:numPr>
          <w:ilvl w:val="0"/>
          <w:numId w:val="21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Conduct a focused 60-minute tabletop exercise quarterly with technical, legal, communications, operations, and leadership teams</w:t>
      </w:r>
      <w:r w:rsidR="008C39B7" w:rsidRPr="004E2D77">
        <w:rPr>
          <w:rFonts w:ascii="Aptos" w:hAnsi="Aptos"/>
          <w:sz w:val="21"/>
          <w:szCs w:val="21"/>
        </w:rPr>
        <w:t>.</w:t>
      </w:r>
    </w:p>
    <w:p w14:paraId="56BAF8C6" w14:textId="727AAD84" w:rsidR="008C39B7" w:rsidRPr="004E2D77" w:rsidRDefault="008C39B7" w:rsidP="008C39B7">
      <w:pPr>
        <w:numPr>
          <w:ilvl w:val="0"/>
          <w:numId w:val="21"/>
        </w:numPr>
        <w:spacing w:after="0"/>
        <w:rPr>
          <w:rFonts w:ascii="Aptos" w:hAnsi="Aptos"/>
          <w:sz w:val="21"/>
          <w:szCs w:val="21"/>
        </w:rPr>
      </w:pPr>
      <w:r w:rsidRPr="004E2D77">
        <w:rPr>
          <w:rFonts w:ascii="Aptos" w:hAnsi="Aptos"/>
          <w:sz w:val="21"/>
          <w:szCs w:val="21"/>
        </w:rPr>
        <w:t>Include law enforcement contacts, including your local FBI field office, to enable rapid coordination.</w:t>
      </w:r>
      <w:bookmarkEnd w:id="0"/>
      <w:bookmarkEnd w:id="10"/>
    </w:p>
    <w:sectPr w:rsidR="008C39B7" w:rsidRPr="004E2D77" w:rsidSect="00505BE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C483" w14:textId="77777777" w:rsidR="007C3C42" w:rsidRDefault="007C3C42">
      <w:pPr>
        <w:spacing w:after="0" w:line="240" w:lineRule="auto"/>
      </w:pPr>
      <w:r>
        <w:separator/>
      </w:r>
    </w:p>
  </w:endnote>
  <w:endnote w:type="continuationSeparator" w:id="0">
    <w:p w14:paraId="4EFF94D3" w14:textId="77777777" w:rsidR="007C3C42" w:rsidRDefault="007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4171" w14:textId="77777777" w:rsidR="00505BE7" w:rsidRPr="00505BE7" w:rsidRDefault="00BF7BD5" w:rsidP="00505BE7">
    <w:pPr>
      <w:pStyle w:val="Header"/>
      <w:jc w:val="center"/>
      <w:rPr>
        <w:color w:val="70AD47" w:themeColor="accent6"/>
      </w:rPr>
    </w:pPr>
    <w:r>
      <w:rPr>
        <w:color w:val="70AD47" w:themeColor="accent6"/>
      </w:rPr>
      <w:t>UNCLASSIFIED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326" w14:textId="77777777" w:rsidR="00505BE7" w:rsidRPr="00505BE7" w:rsidRDefault="00BF7BD5" w:rsidP="00505BE7">
    <w:pPr>
      <w:pStyle w:val="Header"/>
      <w:jc w:val="center"/>
      <w:rPr>
        <w:color w:val="70AD47" w:themeColor="accent6"/>
      </w:rPr>
    </w:pPr>
    <w:r>
      <w:rPr>
        <w:color w:val="70AD47" w:themeColor="accent6"/>
      </w:rPr>
      <w:tab/>
      <w:t>UNCLASSIFIED</w:t>
    </w:r>
    <w:r>
      <w:rPr>
        <w:color w:val="70AD47" w:themeColor="accent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57EA" w14:textId="77777777" w:rsidR="007C3C42" w:rsidRDefault="007C3C42">
      <w:pPr>
        <w:spacing w:after="0" w:line="240" w:lineRule="auto"/>
      </w:pPr>
      <w:r>
        <w:separator/>
      </w:r>
    </w:p>
  </w:footnote>
  <w:footnote w:type="continuationSeparator" w:id="0">
    <w:p w14:paraId="1AA17AF6" w14:textId="77777777" w:rsidR="007C3C42" w:rsidRDefault="007C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6457" w14:textId="77777777" w:rsidR="00646F33" w:rsidRPr="00505BE7" w:rsidRDefault="00BF7BD5" w:rsidP="003135DE">
    <w:pPr>
      <w:pStyle w:val="Header"/>
      <w:jc w:val="center"/>
      <w:rPr>
        <w:color w:val="70AD47" w:themeColor="accent6"/>
      </w:rPr>
    </w:pPr>
    <w:r>
      <w:rPr>
        <w:color w:val="70AD47" w:themeColor="accent6"/>
      </w:rPr>
      <w:t>UNCLASSIFIED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F1D8" w14:textId="77777777" w:rsidR="003135DE" w:rsidRPr="00505BE7" w:rsidRDefault="00BF7BD5" w:rsidP="003135DE">
    <w:pPr>
      <w:pStyle w:val="Header"/>
      <w:jc w:val="center"/>
      <w:rPr>
        <w:color w:val="70AD47" w:themeColor="accent6"/>
      </w:rPr>
    </w:pPr>
    <w:r>
      <w:rPr>
        <w:color w:val="70AD47" w:themeColor="accent6"/>
      </w:rPr>
      <w:t xml:space="preserve">UNCLASSIFIED </w:t>
    </w:r>
  </w:p>
  <w:p w14:paraId="0B6DA59E" w14:textId="77777777" w:rsidR="002A7C30" w:rsidRDefault="00FC548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9B15B8" wp14:editId="109CFB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993392"/>
          <wp:effectExtent l="0" t="0" r="0" b="698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plateHeader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72AC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AEAE9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99683B"/>
    <w:multiLevelType w:val="multilevel"/>
    <w:tmpl w:val="FD9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00C0F"/>
    <w:multiLevelType w:val="multilevel"/>
    <w:tmpl w:val="9036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714C0"/>
    <w:multiLevelType w:val="hybridMultilevel"/>
    <w:tmpl w:val="5A0E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713F"/>
    <w:multiLevelType w:val="multilevel"/>
    <w:tmpl w:val="902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07EB8"/>
    <w:multiLevelType w:val="multilevel"/>
    <w:tmpl w:val="5478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472E6"/>
    <w:multiLevelType w:val="multilevel"/>
    <w:tmpl w:val="879A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1247E"/>
    <w:multiLevelType w:val="multilevel"/>
    <w:tmpl w:val="4640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446C0"/>
    <w:multiLevelType w:val="multilevel"/>
    <w:tmpl w:val="D696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A3BA5"/>
    <w:multiLevelType w:val="multilevel"/>
    <w:tmpl w:val="CB88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170FE"/>
    <w:multiLevelType w:val="multilevel"/>
    <w:tmpl w:val="15B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66759">
    <w:abstractNumId w:val="6"/>
  </w:num>
  <w:num w:numId="2" w16cid:durableId="480659837">
    <w:abstractNumId w:val="5"/>
  </w:num>
  <w:num w:numId="3" w16cid:durableId="1759059064">
    <w:abstractNumId w:val="7"/>
  </w:num>
  <w:num w:numId="4" w16cid:durableId="419955483">
    <w:abstractNumId w:val="4"/>
  </w:num>
  <w:num w:numId="5" w16cid:durableId="1027366373">
    <w:abstractNumId w:val="3"/>
  </w:num>
  <w:num w:numId="6" w16cid:durableId="985401850">
    <w:abstractNumId w:val="2"/>
  </w:num>
  <w:num w:numId="7" w16cid:durableId="295720298">
    <w:abstractNumId w:val="9"/>
  </w:num>
  <w:num w:numId="8" w16cid:durableId="221261475">
    <w:abstractNumId w:val="10"/>
  </w:num>
  <w:num w:numId="9" w16cid:durableId="24215166">
    <w:abstractNumId w:val="11"/>
  </w:num>
  <w:num w:numId="10" w16cid:durableId="950161340">
    <w:abstractNumId w:val="8"/>
  </w:num>
  <w:num w:numId="11" w16cid:durableId="1488589389">
    <w:abstractNumId w:val="0"/>
  </w:num>
  <w:num w:numId="12" w16cid:durableId="415589648">
    <w:abstractNumId w:val="1"/>
  </w:num>
  <w:num w:numId="13" w16cid:durableId="325480950">
    <w:abstractNumId w:val="1"/>
  </w:num>
  <w:num w:numId="14" w16cid:durableId="415522236">
    <w:abstractNumId w:val="1"/>
  </w:num>
  <w:num w:numId="15" w16cid:durableId="243300014">
    <w:abstractNumId w:val="1"/>
  </w:num>
  <w:num w:numId="16" w16cid:durableId="178664988">
    <w:abstractNumId w:val="1"/>
  </w:num>
  <w:num w:numId="17" w16cid:durableId="1666319384">
    <w:abstractNumId w:val="1"/>
  </w:num>
  <w:num w:numId="18" w16cid:durableId="2058695974">
    <w:abstractNumId w:val="1"/>
  </w:num>
  <w:num w:numId="19" w16cid:durableId="1544903920">
    <w:abstractNumId w:val="1"/>
  </w:num>
  <w:num w:numId="20" w16cid:durableId="1743215598">
    <w:abstractNumId w:val="1"/>
  </w:num>
  <w:num w:numId="21" w16cid:durableId="77117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30"/>
    <w:rsid w:val="000904AF"/>
    <w:rsid w:val="0009521F"/>
    <w:rsid w:val="000B02B7"/>
    <w:rsid w:val="000B595C"/>
    <w:rsid w:val="000D23D7"/>
    <w:rsid w:val="000D57BA"/>
    <w:rsid w:val="0011690D"/>
    <w:rsid w:val="001468FB"/>
    <w:rsid w:val="001D6C57"/>
    <w:rsid w:val="001D7E35"/>
    <w:rsid w:val="00222DBB"/>
    <w:rsid w:val="00242868"/>
    <w:rsid w:val="002664BC"/>
    <w:rsid w:val="00274C79"/>
    <w:rsid w:val="00276E34"/>
    <w:rsid w:val="002A7C30"/>
    <w:rsid w:val="002D5116"/>
    <w:rsid w:val="003135DE"/>
    <w:rsid w:val="00336554"/>
    <w:rsid w:val="00381A07"/>
    <w:rsid w:val="003C19F4"/>
    <w:rsid w:val="003D12B2"/>
    <w:rsid w:val="003D1B14"/>
    <w:rsid w:val="003F1D8B"/>
    <w:rsid w:val="00425CA4"/>
    <w:rsid w:val="00450978"/>
    <w:rsid w:val="004C7B3D"/>
    <w:rsid w:val="004E2D77"/>
    <w:rsid w:val="004F1778"/>
    <w:rsid w:val="00505BE7"/>
    <w:rsid w:val="005656EF"/>
    <w:rsid w:val="005F5F42"/>
    <w:rsid w:val="006058E9"/>
    <w:rsid w:val="006111FB"/>
    <w:rsid w:val="0061282F"/>
    <w:rsid w:val="0064637A"/>
    <w:rsid w:val="00646F33"/>
    <w:rsid w:val="006757FE"/>
    <w:rsid w:val="00715952"/>
    <w:rsid w:val="00744240"/>
    <w:rsid w:val="00754572"/>
    <w:rsid w:val="00762522"/>
    <w:rsid w:val="00781B5F"/>
    <w:rsid w:val="007825D5"/>
    <w:rsid w:val="007B2C39"/>
    <w:rsid w:val="007B66DF"/>
    <w:rsid w:val="007C3C42"/>
    <w:rsid w:val="007C6B75"/>
    <w:rsid w:val="0080070E"/>
    <w:rsid w:val="008437BC"/>
    <w:rsid w:val="00856DE9"/>
    <w:rsid w:val="0087598B"/>
    <w:rsid w:val="00895134"/>
    <w:rsid w:val="008C39B7"/>
    <w:rsid w:val="008E0218"/>
    <w:rsid w:val="00984301"/>
    <w:rsid w:val="009B36D1"/>
    <w:rsid w:val="009B4FE4"/>
    <w:rsid w:val="009E475C"/>
    <w:rsid w:val="00A260E6"/>
    <w:rsid w:val="00A36303"/>
    <w:rsid w:val="00A57608"/>
    <w:rsid w:val="00A61B6E"/>
    <w:rsid w:val="00AA550D"/>
    <w:rsid w:val="00AA7DFD"/>
    <w:rsid w:val="00AB30BB"/>
    <w:rsid w:val="00AB5C7E"/>
    <w:rsid w:val="00AD0A02"/>
    <w:rsid w:val="00AD54AE"/>
    <w:rsid w:val="00B008E5"/>
    <w:rsid w:val="00B37FD0"/>
    <w:rsid w:val="00B460EE"/>
    <w:rsid w:val="00B47CDE"/>
    <w:rsid w:val="00B51A07"/>
    <w:rsid w:val="00B54263"/>
    <w:rsid w:val="00BE235A"/>
    <w:rsid w:val="00BF3F74"/>
    <w:rsid w:val="00BF6D26"/>
    <w:rsid w:val="00BF7BD5"/>
    <w:rsid w:val="00C03B5D"/>
    <w:rsid w:val="00C70C94"/>
    <w:rsid w:val="00C81194"/>
    <w:rsid w:val="00C94912"/>
    <w:rsid w:val="00D26417"/>
    <w:rsid w:val="00DB634B"/>
    <w:rsid w:val="00DF3CFD"/>
    <w:rsid w:val="00DF446F"/>
    <w:rsid w:val="00EA61D5"/>
    <w:rsid w:val="00F12457"/>
    <w:rsid w:val="00F33676"/>
    <w:rsid w:val="00F41BA2"/>
    <w:rsid w:val="00F60BAF"/>
    <w:rsid w:val="00F9158C"/>
    <w:rsid w:val="00FA1420"/>
    <w:rsid w:val="00FB2DB6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CEA1"/>
  <w15:docId w15:val="{587BF81C-3F4B-A04D-ADDE-62F99C08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B3D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44546A" w:themeColor="text2"/>
      <w:spacing w:val="-4"/>
      <w:kern w:val="2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17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aps/>
      <w:color w:val="44546A" w:themeColor="text2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30"/>
  </w:style>
  <w:style w:type="paragraph" w:styleId="Footer">
    <w:name w:val="footer"/>
    <w:basedOn w:val="Normal"/>
    <w:link w:val="FooterChar"/>
    <w:uiPriority w:val="99"/>
    <w:unhideWhenUsed/>
    <w:rsid w:val="002A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30"/>
  </w:style>
  <w:style w:type="paragraph" w:styleId="Title">
    <w:name w:val="Title"/>
    <w:basedOn w:val="Normal"/>
    <w:next w:val="Normal"/>
    <w:link w:val="TitleChar"/>
    <w:uiPriority w:val="10"/>
    <w:qFormat/>
    <w:rsid w:val="00B460EE"/>
    <w:pPr>
      <w:spacing w:after="720"/>
    </w:pPr>
    <w:rPr>
      <w:rFonts w:ascii="Cambria" w:hAnsi="Cambria"/>
      <w:b/>
      <w:color w:val="FFFFFF" w:themeColor="background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EE"/>
    <w:rPr>
      <w:rFonts w:ascii="Cambria" w:hAnsi="Cambria"/>
      <w:b/>
      <w:color w:val="FFFFFF" w:themeColor="background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7B3D"/>
    <w:rPr>
      <w:rFonts w:ascii="Cambria" w:eastAsiaTheme="majorEastAsia" w:hAnsi="Cambria" w:cstheme="majorBidi"/>
      <w:b/>
      <w:color w:val="44546A" w:themeColor="text2"/>
      <w:spacing w:val="-4"/>
      <w:kern w:val="2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17"/>
    <w:rPr>
      <w:rFonts w:ascii="Century Gothic" w:eastAsiaTheme="majorEastAsia" w:hAnsi="Century Gothic" w:cstheme="majorBidi"/>
      <w:b/>
      <w:caps/>
      <w:color w:val="44546A" w:themeColor="text2"/>
      <w:spacing w:val="20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17"/>
    <w:pPr>
      <w:numPr>
        <w:ilvl w:val="1"/>
      </w:numPr>
    </w:pPr>
    <w:rPr>
      <w:rFonts w:ascii="Century Gothic" w:eastAsiaTheme="minorEastAsia" w:hAnsi="Century Gothic"/>
      <w:b/>
      <w:caps/>
      <w:color w:val="7F7F7F" w:themeColor="text1" w:themeTint="80"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417"/>
    <w:rPr>
      <w:rFonts w:ascii="Century Gothic" w:eastAsiaTheme="minorEastAsia" w:hAnsi="Century Gothic"/>
      <w:b/>
      <w:caps/>
      <w:color w:val="7F7F7F" w:themeColor="text1" w:themeTint="80"/>
      <w:spacing w:val="20"/>
      <w:sz w:val="24"/>
    </w:rPr>
  </w:style>
  <w:style w:type="character" w:styleId="IntenseEmphasis">
    <w:name w:val="Intense Emphasis"/>
    <w:basedOn w:val="DefaultParagraphFont"/>
    <w:uiPriority w:val="21"/>
    <w:qFormat/>
    <w:rsid w:val="00D26417"/>
    <w:rPr>
      <w:i/>
      <w:iCs/>
      <w:color w:val="44546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17"/>
    <w:rPr>
      <w:i/>
      <w:iCs/>
      <w:color w:val="44546A" w:themeColor="text2"/>
    </w:rPr>
  </w:style>
  <w:style w:type="character" w:styleId="IntenseReference">
    <w:name w:val="Intense Reference"/>
    <w:basedOn w:val="DefaultParagraphFont"/>
    <w:uiPriority w:val="32"/>
    <w:qFormat/>
    <w:rsid w:val="00D26417"/>
    <w:rPr>
      <w:b/>
      <w:bCs/>
      <w:smallCaps/>
      <w:color w:val="44546A" w:themeColor="text2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3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Revision">
    <w:name w:val="Revision"/>
    <w:hidden/>
    <w:uiPriority w:val="99"/>
    <w:semiHidden/>
    <w:rsid w:val="00A260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5923e-2c03-4dba-8931-82ddaa8e97c9">
      <Terms xmlns="http://schemas.microsoft.com/office/infopath/2007/PartnerControls"/>
    </lcf76f155ced4ddcb4097134ff3c332f>
    <TaxCatchAll xmlns="b8f53357-2f31-4bdc-a480-b64dc18eeefb" xsi:nil="true"/>
    <Participant xmlns="ecb5923e-2c03-4dba-8931-82ddaa8e97c9" xsi:nil="true"/>
    <Topic xmlns="ecb5923e-2c03-4dba-8931-82ddaa8e97c9" xsi:nil="true"/>
    <Internal_x002f_External xmlns="ecb5923e-2c03-4dba-8931-82ddaa8e97c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54DA27982342982DAB4FEB435C77" ma:contentTypeVersion="19" ma:contentTypeDescription="Create a new document." ma:contentTypeScope="" ma:versionID="ae012726a031e1c56a28bab523aae288">
  <xsd:schema xmlns:xsd="http://www.w3.org/2001/XMLSchema" xmlns:xs="http://www.w3.org/2001/XMLSchema" xmlns:p="http://schemas.microsoft.com/office/2006/metadata/properties" xmlns:ns2="ecb5923e-2c03-4dba-8931-82ddaa8e97c9" xmlns:ns3="b8f53357-2f31-4bdc-a480-b64dc18eeefb" targetNamespace="http://schemas.microsoft.com/office/2006/metadata/properties" ma:root="true" ma:fieldsID="f70bf317b8ed2844172844c04e99f730" ns2:_="" ns3:_="">
    <xsd:import namespace="ecb5923e-2c03-4dba-8931-82ddaa8e97c9"/>
    <xsd:import namespace="b8f53357-2f31-4bdc-a480-b64dc18eeefb"/>
    <xsd:element name="properties">
      <xsd:complexType>
        <xsd:sequence>
          <xsd:element name="documentManagement">
            <xsd:complexType>
              <xsd:all>
                <xsd:element ref="ns2:Internal_x002f_External"/>
                <xsd:element ref="ns2:Topic" minOccurs="0"/>
                <xsd:element ref="ns2:Participan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923e-2c03-4dba-8931-82ddaa8e97c9" elementFormDefault="qualified">
    <xsd:import namespace="http://schemas.microsoft.com/office/2006/documentManagement/types"/>
    <xsd:import namespace="http://schemas.microsoft.com/office/infopath/2007/PartnerControls"/>
    <xsd:element name="Internal_x002f_External" ma:index="2" ma:displayName="Internal/External" ma:format="Dropdown" ma:internalName="Internal_x002f_External">
      <xsd:simpleType>
        <xsd:restriction base="dms:Choice">
          <xsd:enumeration value="External/Public/Media"/>
          <xsd:enumeration value="External/Public/NO Media"/>
          <xsd:enumeration value="Congress"/>
          <xsd:enumeration value="Internal Only"/>
        </xsd:restriction>
      </xsd:simpleType>
    </xsd:element>
    <xsd:element name="Topic" ma:index="4" nillable="true" ma:displayName="Topic" ma:description="Topic of TPs" ma:format="Dropdown" ma:internalName="Topic">
      <xsd:simpleType>
        <xsd:restriction base="dms:Text">
          <xsd:maxLength value="255"/>
        </xsd:restriction>
      </xsd:simpleType>
    </xsd:element>
    <xsd:element name="Participant" ma:index="5" nillable="true" ma:displayName="Participant" ma:description="Name of participant" ma:format="Dropdown" ma:internalName="Participant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3357-2f31-4bdc-a480-b64dc18ee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253f87-3ae6-4f00-aa75-32b06e8d8a9e}" ma:internalName="TaxCatchAll" ma:showField="CatchAllData" ma:web="b8f53357-2f31-4bdc-a480-b64dc18ee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33F11-99DE-45E9-A6D2-89CC4EB5CB1B}">
  <ds:schemaRefs>
    <ds:schemaRef ds:uri="http://schemas.microsoft.com/office/2006/metadata/properties"/>
    <ds:schemaRef ds:uri="http://schemas.microsoft.com/office/infopath/2007/PartnerControls"/>
    <ds:schemaRef ds:uri="ecb5923e-2c03-4dba-8931-82ddaa8e97c9"/>
    <ds:schemaRef ds:uri="b8f53357-2f31-4bdc-a480-b64dc18eeefb"/>
  </ds:schemaRefs>
</ds:datastoreItem>
</file>

<file path=customXml/itemProps2.xml><?xml version="1.0" encoding="utf-8"?>
<ds:datastoreItem xmlns:ds="http://schemas.openxmlformats.org/officeDocument/2006/customXml" ds:itemID="{96633910-1743-4C73-9537-01B4B7D3E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B995-DBAE-4C43-B99F-ADB7F4C5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5923e-2c03-4dba-8931-82ddaa8e97c9"/>
    <ds:schemaRef ds:uri="b8f53357-2f31-4bdc-a480-b64dc18ee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832</Words>
  <Characters>4743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Maddock, Adam M. (CyD) (FBI)</dc:creator>
  <cp:keywords/>
  <cp:lastModifiedBy>Katherine Boyk</cp:lastModifiedBy>
  <cp:revision>2</cp:revision>
  <dcterms:created xsi:type="dcterms:W3CDTF">2026-05-27T15:52:00Z</dcterms:created>
  <dcterms:modified xsi:type="dcterms:W3CDTF">2026-05-27T15:52:00Z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0x010100934854DA27982342982DAB4FEB435C77</vt:lpwstr>
  </property>
</Properties>
</file>